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EB" w:rsidRPr="00AE09EB" w:rsidRDefault="00AE09EB" w:rsidP="00AE09EB">
      <w:pPr>
        <w:shd w:val="clear" w:color="auto" w:fill="FFFFFF"/>
        <w:spacing w:before="435" w:after="285" w:line="720" w:lineRule="atLeast"/>
        <w:jc w:val="center"/>
        <w:outlineLvl w:val="0"/>
        <w:rPr>
          <w:rFonts w:ascii="PT Serif" w:eastAsia="Times New Roman" w:hAnsi="PT Serif" w:cs="Times New Roman"/>
          <w:b/>
          <w:bCs/>
          <w:color w:val="1C3467"/>
          <w:kern w:val="36"/>
          <w:sz w:val="54"/>
          <w:szCs w:val="54"/>
          <w:lang w:eastAsia="ru-RU"/>
        </w:rPr>
      </w:pPr>
      <w:r w:rsidRPr="00AE09EB">
        <w:rPr>
          <w:rFonts w:ascii="PT Serif" w:eastAsia="Times New Roman" w:hAnsi="PT Serif" w:cs="Times New Roman"/>
          <w:b/>
          <w:bCs/>
          <w:color w:val="1C3467"/>
          <w:kern w:val="36"/>
          <w:sz w:val="54"/>
          <w:szCs w:val="54"/>
          <w:lang w:eastAsia="ru-RU"/>
        </w:rPr>
        <w:t>Задачи диспансеризации</w:t>
      </w:r>
    </w:p>
    <w:p w:rsidR="00AE09EB" w:rsidRPr="00AE09EB" w:rsidRDefault="00AE09EB" w:rsidP="00AE09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>История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Здоровье человека – это самое ценное, что есть у него. Ничто не может сравниться с ним: ни богатство, ни положение в обществе, ни слава. Это настоящая драгоценность, подаренная нам природой. Человек обязан беречь свое здоровье, ведь именно здоровый человек формирует сильную нацию.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Диспансеризация в нашей стране имеет многолетнюю историю. Программа всеобщей диспансеризации населения была принята в 1986 году (приказ МЗ СССР от 30.05.86 N 770), согласно которой в поликлиниках были созданы отделения и кабинеты профилактики, увеличена численность участковых терапевтов и педиатров, улучшено лабораторно-инструментальное оснащение. По результатам диспансеризации рекомендовалось выделять группы: здоровых, практически здоровых и больных. Впервые указывалось, что в каждой из вышеперечисленных групп следует учитывать лиц с факторами риска возникновения определенных заболеваний (производственного, бытового, генетического характера) и давались рекомендации по их диспансерному наблюдению.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Однако запланированное ежегодное всеобщее обследование населения не было достаточно обосновано с позиции ресурсного и организационного обеспечения. Оно в значительной степени затрудняло текущую работу поликлиник и, в конечном итоге, оказалось недостаточно эффективным.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 xml:space="preserve">Опыт проведения дополнительной диспансеризации работающего населения - по месту работы граждан, а не по </w:t>
      </w:r>
      <w:proofErr w:type="spell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участково</w:t>
      </w:r>
      <w:proofErr w:type="spell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-территориальному принципу, стартовавшей в нашей стране с 2006 года, показал, что медицинские осмотры не стали способом </w:t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контроля за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здоровьем работающих. Это связано с тем, что в большинстве случаев, диспансеризация заключалась только в обследовании и выявлении болезней, без реализации последующего комплекса лечебно-профилактических и реабилитационных мер.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С учетом имеющегося отечественного и зарубежного опыта, исходя из существующей системы здравоохранения, была разработана принципиально новая система диспансеризации населения – Диспансеризация Определенных Гру</w:t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пп Взр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ослого Населения (ДОГВН). Она позволяет обеспечить устойчивое функционирование, не нарушающее повседневный режим работы амбулаторно-поликлинического учреждения (подразделения), при непосредственном участии и личной ответственности за ее результаты, как участкового врача (фельдшера), так и обследуемого.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 xml:space="preserve">Для чего </w:t>
      </w:r>
      <w:proofErr w:type="gramStart"/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>нужна</w:t>
      </w:r>
      <w:proofErr w:type="gramEnd"/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 xml:space="preserve"> ДОГВН?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lastRenderedPageBreak/>
        <w:br/>
        <w:t>Проблемы со здоровьем чаще всего обнаруживаются именно тогда, когда болеть никак нельзя. Многие болезни протекают бессимптомно, и человек может не подозревать, что его здоровье не в порядке. Превентивно бегать по врачам работающему человеку и в голову не придет. Во-первых, дорого, во-вторых, некогда, в-третьих, неизвестно, на что именно в своем организме нужно обратить внимание. Диспансеризация снимает все эти сложности.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Диспансеризация проводится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Пройти все ключевые обследования и получить консультации нужных врачей совершенно бесплатно может каждый человек, прикрепленный к поликлинике и имеющий полис ОМС.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Кроме того, «работодатели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прохождения» (статья 24 ФЗ от 21.11.2011 № 323-ФЗ «Об основах охраны здоровья граждан в Российской Федерации»).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Цель диспансеризации - раннее выявление хронических неинфекционных заболеваний: болезней системы кровообращения (в первую очередь ишемической болезни сердца и цереброваскулярных заболеваний), злокачественных новообразований, сахарного диабета, хронических болезней легких, факторов риска этих заболеваний, проведение необходимых профилактических, лечебных, реабилитационных и оздоровительных мероприятий для коррекции факторов риска, предотвращения развития заболеваний, их осложнений и достижения активного долголетия.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Регулярное прохождение диспансеризации позволит Вам выявить заболевания на ранней стадии, когда лечение наиболее эффективно!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>Кто должен проходить ДОГВН?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Приказ МЗ РФ № 404н от 27.04.2021г., вступивший в силу с 1 июля 2021 года, регулирует вопросы проведения в медицинских организациях профилактического медицинского осмотра и диспансеризации определенных гру</w:t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пп взр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ослого населения.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Согласно новому приказу россияне старше 18 лет проходят диспансеризацию 1 раз в 3 года в возрасте от 18 до 39 лет включительно, ежегодно в возрасте 40 лет и старше.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lastRenderedPageBreak/>
        <w:t>Годом прохождения диспансеризации считается календарный год, в котором гражданин достигает соответствующего возраста.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Ежегодно диспансеризацию проходят отдельные категории граждан:</w:t>
      </w:r>
    </w:p>
    <w:p w:rsidR="00AE09EB" w:rsidRPr="00AE09EB" w:rsidRDefault="00AE09EB" w:rsidP="00AE09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инвалиды и участники Великой Отечественной войны, инвалиды боевых действий, ставшие инвалидами вследствие общего заболевания, трудового увечья или других причин (кроме лиц, инвалидность которых, наступила вследствие их противоправных действий);</w:t>
      </w:r>
      <w:proofErr w:type="gramEnd"/>
    </w:p>
    <w:p w:rsidR="00AE09EB" w:rsidRPr="00AE09EB" w:rsidRDefault="00AE09EB" w:rsidP="00AE09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лица, награжденные знаком "Житель блокадного Ленинграда", и признанные инвалидами вследствие общего заболевания, трудового увечья или других причин (кроме лиц, инвалидность которых, наступила вследствие их противоправных действий);</w:t>
      </w:r>
    </w:p>
    <w:p w:rsidR="00AE09EB" w:rsidRPr="00AE09EB" w:rsidRDefault="00AE09EB" w:rsidP="00AE09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бывшие несовершеннолетние узники концлагерей, гетто, прочих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или других причин (кроме лиц, инвалидность которых, наступила вследствие их противоправных действий);</w:t>
      </w:r>
    </w:p>
    <w:p w:rsidR="00AE09EB" w:rsidRPr="00AE09EB" w:rsidRDefault="00AE09EB" w:rsidP="00AE09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работающие граждане, не достигшие возраста, дающего право на назначение пенсии по старости, в том числе досрочно, в течение пяти лет до наступления такого возраста и работающие граждане, являющиеся получателями пенсии по старости или пенсии за выслугу лет (ст. 185.1 ТК РФ).</w:t>
      </w:r>
    </w:p>
    <w:p w:rsidR="00AE09EB" w:rsidRPr="00AE09EB" w:rsidRDefault="00AE09EB" w:rsidP="00AE09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 </w:t>
      </w:r>
    </w:p>
    <w:p w:rsidR="00AE09EB" w:rsidRPr="00AE09EB" w:rsidRDefault="00AE09EB" w:rsidP="00AE09EB">
      <w:pPr>
        <w:shd w:val="clear" w:color="auto" w:fill="FFFFFF"/>
        <w:spacing w:before="435" w:after="285" w:line="720" w:lineRule="atLeast"/>
        <w:jc w:val="center"/>
        <w:outlineLvl w:val="0"/>
        <w:rPr>
          <w:rFonts w:ascii="PT Serif" w:eastAsia="Times New Roman" w:hAnsi="PT Serif" w:cs="Times New Roman"/>
          <w:b/>
          <w:bCs/>
          <w:color w:val="1C3467"/>
          <w:kern w:val="36"/>
          <w:sz w:val="54"/>
          <w:szCs w:val="54"/>
          <w:lang w:eastAsia="ru-RU"/>
        </w:rPr>
      </w:pPr>
      <w:r w:rsidRPr="00AE09EB">
        <w:rPr>
          <w:rFonts w:ascii="PT Serif" w:eastAsia="Times New Roman" w:hAnsi="PT Serif" w:cs="Times New Roman"/>
          <w:b/>
          <w:bCs/>
          <w:color w:val="1C3467"/>
          <w:kern w:val="36"/>
          <w:sz w:val="54"/>
          <w:szCs w:val="54"/>
          <w:lang w:eastAsia="ru-RU"/>
        </w:rPr>
        <w:t>Этапы диспансеризации</w:t>
      </w:r>
    </w:p>
    <w:p w:rsidR="00AE09EB" w:rsidRPr="00AE09EB" w:rsidRDefault="00AE09EB" w:rsidP="00AE09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u w:val="single"/>
          <w:lang w:eastAsia="ru-RU"/>
        </w:rPr>
        <w:t xml:space="preserve">Стандарт проведения первого этапа диспансеризации на </w:t>
      </w:r>
      <w:proofErr w:type="spellStart"/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u w:val="single"/>
          <w:lang w:eastAsia="ru-RU"/>
        </w:rPr>
        <w:t>ФАПе</w:t>
      </w:r>
      <w:proofErr w:type="spellEnd"/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Ч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тобы пройти диспансеризацию, вы можете позвонить в </w:t>
      </w:r>
      <w:proofErr w:type="spell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колл</w:t>
      </w:r>
      <w:proofErr w:type="spell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-центр поликлиники, записаться на сайте государственных услуг Российской Федерации, либо обратиться в регистратуру поликлиники, к которой вы прикреплены, кабинет (отделение) медицинской профилактики.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Диспансеризация проводится в целях раннего (своевременного) выявления хронических неинфекционных заболеваний, являющихся основной причиной инвалидности и преждевременной смертности населения Российской Федерации и факторов риска их развития, немедицинского потребления наркотических средств и психотропных веществ.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lastRenderedPageBreak/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Диспансеризация проводится в два этапа.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Первый этап диспансеризации (скрининг) проводится с целью выявления у граждан признаков хронических неинфекционных заболеваний и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медицинских показаний к выполнению дополнительных обследований и осмотров врачами-специалистами для уточнения диагноза заболевания на втором этапе диспансеризации.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>I этап диспансеризации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u w:val="single"/>
          <w:lang w:eastAsia="ru-RU"/>
        </w:rPr>
        <w:t>1. Для граждан в возрасте от 18 до 39 лет включительно 1 раз в 3 года: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Проведение профилактического медицинского осмотра в объёме: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a) Анкетирование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б) Расчет на основании антропометрии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в) Измерение артериального давления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г) Исследование уровня общего холестерина в крови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д) Определение уровня глюкозы в крови натощак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е) Определение относительного сердечно-сосудистого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ж) Флюорографию легких или рентгенографию легких 1 раз в 2 года (18, 24, 30, 36 лет)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з) Электрокардиографию в покое при первом прохождении профилактического медицинского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осмотра (36, 39 лет)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Проведение мероприятий скрининга, направленного на раннее выявление онкологических заболеваний: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Скрининг на выявление злокачественных новообразований шейки матки (у женщин): осмотр фельдшером (акушеркой) или врачом акушером-гинекологом, взятие мазка с шейки матки, цитологическое исследование мазка с шейки матки (методом </w:t>
      </w:r>
      <w:proofErr w:type="spell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Папаниколау</w:t>
      </w:r>
      <w:proofErr w:type="spell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)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lastRenderedPageBreak/>
        <w:br/>
        <w:t>Проведение краткого индивидуального профилактического консультирования в отделении (кабинете) медицинской профилактики (центре здоровья) врачом-терапевтом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u w:val="single"/>
          <w:lang w:eastAsia="ru-RU"/>
        </w:rPr>
        <w:t>2. Для граждан в возрасте от 40 до 64 лет включительно 1 раз в год: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Проведение профилактического медицинского осмотра в объёме: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a) Анкетирование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б) Расчет на основании антропометрии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в) Измерение артериального давления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г) Исследование уровня общего холестерина в крови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д) Определение уровня глюкозы в крови натощак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е) Определение абсолютного сердечно-сосудистого риска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ж) Флюорографию легких или рентгенографию легких 1 раз в 2 года (40, 42, 44, 46, 48, 50, 52, 54, 56, 58, 60, 62, 64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</w:t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лет)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з) Электрокардиографию в покое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и) Измерение внутриглазного давления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Проведение мероприятий скрининга, направленного на раннее выявление онкологических заболеваний: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 xml:space="preserve">a) скрининг на выявление злокачественных новообразований шейки матки (у женщин): осмотр фельдшером (акушеркой) или врачом акушером-гинекологом, взятие мазка с шейки матки, цитологическое исследование мазка с шейки матки (методом </w:t>
      </w:r>
      <w:proofErr w:type="spell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Папаниколау</w:t>
      </w:r>
      <w:proofErr w:type="spell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) 1 раз в 3 года (42, 45, 48, 51, 54, 57, 60, 63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</w:t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лет)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 xml:space="preserve">б) скрининг на выявление злокачественных новообразований молочных желез (у женщин): маммография обеих 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lastRenderedPageBreak/>
        <w:t>молочных желез в двух проекциях с двойным прочтением рентгенограмм 1 раз в 2 года (40, 42, 44, 46, 48, 50, 52, 54, 56, 58, 60, 62, 64 лет)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в) скрининг на выявление злокачественных новообразований предстательной железы (у мужчин): в возрасте 45, 50, 55, 60 и 64 лет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- </w:t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определение простат-специфического антигена в крови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г) скрининг на выявление злокачественных новообразований толстого кишечника и прямой кишки: исследование кала на скрытую кровь иммунохимическим качественным или количественным методом 1 раз в 2 года (40, 42, 44, 46, 48, 50, 52, 54, 56, 58, 60, 62, 64 лет)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д) скрининг на выявление злокачественных новообразований пищевода, желудка и двенадцатиперстной кишки: в возрасте 45 лет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- </w:t>
      </w:r>
      <w:proofErr w:type="spell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эзофагогастродуоденоскопия</w:t>
      </w:r>
      <w:proofErr w:type="spell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Общий анализ крови (гемоглобин, лейкоциты, СОЭ)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Проведение краткого индивидуального профилактического консультирования в отделении (кабинете) медицинской профилактики (центре здоровья)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u w:val="single"/>
          <w:lang w:eastAsia="ru-RU"/>
        </w:rPr>
        <w:t>3. Для граждан в возрасте 65 лет и старше 1 раз в год: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Проведение профилактического медицинского осмотра в объеме: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a) Анкетирование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б) Расчет на основании антропометрии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в) Измерение артериального давления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г) Исследование уровня общего холестерина в крови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д) Определение уровня глюкозы в крови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lastRenderedPageBreak/>
        <w:br/>
        <w:t>е) Флюорографию легких или рентгенографию легких 1 раз в 2 года (66, 68, 70, 72, 74, 76, 78, 80, 82, 84, 86, 88, 90, 92, 94, 96, 98 лет)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ж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) </w:t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Электрокардиографию в покое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з) Измерение внутриглазного давления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Проведение мероприятий скрининга, направленного на раннее выявление онкологических заболеваний: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a) скрининг на выявление злокачественных новообразований молочных желез (у женщин): в возрасте до 75 лет включительно - маммография обеих молочных желез в двух проекциях с двойным прочтением рентгенограмм 1 раз в 2 года (66, 68, 70, 72, 74 лет)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б) скрининг на выявление злокачественных новообразований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</w:t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толстого кишечника и прямой кишки: в возрасте от 65, 66, 67, 68, 69, 70, 71, 72, 73, 74, 75 лет - исследование кала на скрытую кровь иммунохимическим качественным или количественным методом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Общий анализ крови (гемоглобин, лейкоциты, СОЭ)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Проведение краткого индивидуального профилактического консультирования в отделении (кабинете) медицинской профилактики (центре здоровья)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Прием (осмотр) врачом-терапевтом по результатам первого этапа диспансеризации, в том числе осмотр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>II этап диспансеризации</w:t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П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роводится с целью дополнительного обследования и уточнения диагноза заболевания (состояния) и включает </w:t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в себя: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осмотр (консультацию) врачом-неврологом при наличии показаний;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дуплексное сканирование брахицефальных артерий при наличии показаний;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осмотр (консультацию) врачом-хирургом или врачом-урологом при наличии показаний;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осмотр (консультацию) врачом-хирургом или врачом-</w:t>
      </w:r>
      <w:proofErr w:type="spell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колопроктологом</w:t>
      </w:r>
      <w:proofErr w:type="spell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при наличии показаний;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proofErr w:type="spell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колоноскопию</w:t>
      </w:r>
      <w:proofErr w:type="spell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по назначению врача-хирурга или врача-</w:t>
      </w:r>
      <w:proofErr w:type="spell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колопроктолога</w:t>
      </w:r>
      <w:proofErr w:type="spell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;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proofErr w:type="spell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эзофагогастродуоденоскопию</w:t>
      </w:r>
      <w:proofErr w:type="spell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при наличии показаний;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рентгенография легких, компьютерная томография легких при наличии показаний;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lastRenderedPageBreak/>
        <w:t>спирометрию при наличии показаний;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осмотр (консультацию) врачом акушером-гинекологом при наличии показаний;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осмотр (консультацию) врачом-</w:t>
      </w:r>
      <w:proofErr w:type="spell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оториноларингологом</w:t>
      </w:r>
      <w:proofErr w:type="spell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при наличии показаний;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осмотр (консультацию) врачом-офтальмологом при наличии показаний;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проведение индивидуального или группового углубленного профилактического консультирования в отделении (кабинете) медицинской профилактики, центре здоровья;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осмотр (консультация) врачом-</w:t>
      </w:r>
      <w:proofErr w:type="spell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дерматовенерологом</w:t>
      </w:r>
      <w:proofErr w:type="spell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, включая проведение </w:t>
      </w:r>
      <w:proofErr w:type="spell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дерматоскопии</w:t>
      </w:r>
      <w:proofErr w:type="spell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;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 xml:space="preserve">проведение исследования уровня </w:t>
      </w:r>
      <w:proofErr w:type="spell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гликированного</w:t>
      </w:r>
      <w:proofErr w:type="spell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гемоглобина в крови;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прием врачом-терапевтом по результатам второго этапа диспансеризации.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>Итоги ДОГВН</w:t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П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о результатам профилактического осмотра и диспансеризации определяется группа здоровья и группа диспансерного наблюдения гражданина: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>I группа здоровья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 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</w:t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сердечно-сосудистом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риске и которые не нуждаются в диспансерном наблюдении по поводу других заболеваний (состояний).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proofErr w:type="gramStart"/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>II группа здоровья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 –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proofErr w:type="spell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гиперхолестеринемия</w:t>
      </w:r>
      <w:proofErr w:type="spell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с уровнем общего холестерина 8 </w:t>
      </w:r>
      <w:proofErr w:type="spell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ммоль</w:t>
      </w:r>
      <w:proofErr w:type="spell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/л и более, и (или) лица, курящие более 20 сигарет в день, и (или) лица с выявленным риском</w:t>
      </w:r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пагубного потребления алкоголя и (или) риском потребления наркотических средств или психотропных веществ без назначения врача, и которые не нуждаются в диспансерном наблюдении по поводу других заболеваний (состояний).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proofErr w:type="spellStart"/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>III</w:t>
      </w:r>
      <w:proofErr w:type="gramStart"/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>а</w:t>
      </w:r>
      <w:proofErr w:type="spellEnd"/>
      <w:proofErr w:type="gramEnd"/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 xml:space="preserve"> группа здоровья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 –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proofErr w:type="spellStart"/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>III</w:t>
      </w:r>
      <w:proofErr w:type="gramStart"/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>б</w:t>
      </w:r>
      <w:proofErr w:type="spellEnd"/>
      <w:proofErr w:type="gramEnd"/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 xml:space="preserve"> группа здоровья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 –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 xml:space="preserve">Граждане с </w:t>
      </w:r>
      <w:proofErr w:type="spell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III</w:t>
      </w:r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а</w:t>
      </w:r>
      <w:proofErr w:type="spellEnd"/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и </w:t>
      </w:r>
      <w:proofErr w:type="spell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IIIб</w:t>
      </w:r>
      <w:proofErr w:type="spell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группами здоровья подлежат диспансерному наблюдению врачом-терапевтом, врачами-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lastRenderedPageBreak/>
        <w:t>специалистами с проведением профилактических, лечебных и реабилитационных мероприятий.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AE09EB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>Контроль</w:t>
      </w: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proofErr w:type="spellStart"/>
      <w:proofErr w:type="gramStart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Контроль</w:t>
      </w:r>
      <w:proofErr w:type="spellEnd"/>
      <w:proofErr w:type="gramEnd"/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за организацией проведения ДОГВН в медицинской организации осуществляет Департамент здравоохранения Ивановской области, Территориальный фонд ОМС и страховые медицинские организации.</w:t>
      </w:r>
    </w:p>
    <w:p w:rsidR="00AE09EB" w:rsidRPr="00AE09EB" w:rsidRDefault="00AE09EB" w:rsidP="00AE09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 </w:t>
      </w:r>
    </w:p>
    <w:p w:rsidR="00AE09EB" w:rsidRPr="00AE09EB" w:rsidRDefault="00AE09EB" w:rsidP="00AE09EB">
      <w:pPr>
        <w:shd w:val="clear" w:color="auto" w:fill="FFFFFF"/>
        <w:spacing w:after="240" w:line="600" w:lineRule="atLeast"/>
        <w:jc w:val="center"/>
        <w:outlineLvl w:val="1"/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</w:pPr>
      <w:r w:rsidRPr="00AE09EB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t>Запись на диспансеризацию и диспансеризацию взрослого населения</w:t>
      </w:r>
      <w:r w:rsidRPr="00AE09EB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br/>
        <w:t>репродуктивного возраста</w:t>
      </w:r>
      <w:r w:rsidRPr="00AE09EB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br/>
        <w:t>Этапы прохождения диспансеризации:</w:t>
      </w:r>
      <w:r w:rsidRPr="00AE09EB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br/>
        <w:t>- Первый этап</w:t>
      </w:r>
      <w:proofErr w:type="gramStart"/>
      <w:r w:rsidRPr="00AE09EB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br/>
        <w:t>-</w:t>
      </w:r>
      <w:proofErr w:type="gramEnd"/>
      <w:r w:rsidRPr="00AE09EB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t>Второй этап</w:t>
      </w:r>
      <w:r w:rsidRPr="00AE09EB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br/>
        <w:t>Как пройти диспансеризацию</w:t>
      </w:r>
      <w:r w:rsidRPr="00AE09EB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br/>
      </w:r>
      <w:r w:rsidR="00C94D7E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t>С понедельника по пятницу с 8:00 до 15:45</w:t>
      </w:r>
      <w:r w:rsidRPr="00AE09EB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t xml:space="preserve"> -обратиться в ре</w:t>
      </w:r>
      <w:r w:rsidR="00C94D7E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t xml:space="preserve">гистратуру поликлиники на втором этаже </w:t>
      </w:r>
      <w:r w:rsidR="00C94D7E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br/>
      </w:r>
      <w:r w:rsidR="00C94D7E" w:rsidRPr="00AE09EB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t xml:space="preserve"> </w:t>
      </w:r>
      <w:r w:rsidRPr="00AE09EB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t xml:space="preserve">-по </w:t>
      </w:r>
      <w:r w:rsidR="00C94D7E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t>телефону контакт-центра (8-49355-2-12-33</w:t>
      </w:r>
      <w:r w:rsidRPr="00AE09EB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t>)</w:t>
      </w:r>
      <w:r w:rsidRPr="00AE09EB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br/>
        <w:t xml:space="preserve">-записаться онлайн </w:t>
      </w:r>
      <w:r w:rsidR="00C94D7E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t xml:space="preserve">через ЕПГУ </w:t>
      </w:r>
      <w:r w:rsidRPr="00AE09EB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br/>
        <w:t>Для прохождения диспансеризации необходимо иметь:</w:t>
      </w:r>
      <w:r w:rsidRPr="00AE09EB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br/>
        <w:t>-Паспорт гражданина Российской Федерации</w:t>
      </w:r>
      <w:r w:rsidRPr="00AE09EB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br/>
        <w:t>-Действующий полис ОМС</w:t>
      </w:r>
    </w:p>
    <w:p w:rsidR="00AE09EB" w:rsidRPr="00AE09EB" w:rsidRDefault="00AE09EB" w:rsidP="00AE09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 </w:t>
      </w:r>
    </w:p>
    <w:p w:rsidR="00AE09EB" w:rsidRPr="00AE09EB" w:rsidRDefault="00AE09EB" w:rsidP="00AE09E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AE09EB">
        <w:rPr>
          <w:rFonts w:ascii="Arial" w:eastAsia="Times New Roman" w:hAnsi="Arial" w:cs="Arial"/>
          <w:noProof/>
          <w:color w:val="161E26"/>
          <w:sz w:val="26"/>
          <w:szCs w:val="26"/>
          <w:lang w:eastAsia="ru-RU"/>
        </w:rPr>
        <w:lastRenderedPageBreak/>
        <w:drawing>
          <wp:inline distT="0" distB="0" distL="0" distR="0" wp14:anchorId="3415F212" wp14:editId="48F47328">
            <wp:extent cx="7689215" cy="5438775"/>
            <wp:effectExtent l="0" t="0" r="6985" b="9525"/>
            <wp:docPr id="1" name="Рисунок 1" descr="https://teykovocrb.ru/documents/271379/0/jojiPF_CkuQ.jpg/d3f3faa9-4efa-1c00-7771-89a67053057f?t=1747946188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ykovocrb.ru/documents/271379/0/jojiPF_CkuQ.jpg/d3f3faa9-4efa-1c00-7771-89a67053057f?t=17479461886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21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EB" w:rsidRPr="00AE09EB" w:rsidRDefault="00AE09EB" w:rsidP="00AE09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AE09EB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 </w:t>
      </w:r>
    </w:p>
    <w:p w:rsidR="00AE09EB" w:rsidRPr="00AE09EB" w:rsidRDefault="00AE09EB" w:rsidP="00AE09E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AE09EB">
        <w:rPr>
          <w:rFonts w:ascii="Arial" w:eastAsia="Times New Roman" w:hAnsi="Arial" w:cs="Arial"/>
          <w:noProof/>
          <w:color w:val="161E26"/>
          <w:sz w:val="26"/>
          <w:szCs w:val="26"/>
          <w:lang w:eastAsia="ru-RU"/>
        </w:rPr>
        <w:lastRenderedPageBreak/>
        <w:drawing>
          <wp:inline distT="0" distB="0" distL="0" distR="0" wp14:anchorId="64F29E78" wp14:editId="4AB652BC">
            <wp:extent cx="5247640" cy="7545705"/>
            <wp:effectExtent l="0" t="0" r="0" b="0"/>
            <wp:docPr id="2" name="Рисунок 2" descr="https://teykovocrb.ru/documents/271379/0/%D0%94%D0%B8%D1%81%D0%BF%D0%B0%D0%BD%D1%81%D0%B5%D1%80%D0%B8%D0%B7%D0%B0%D1%86%D0%B8%D1%8F+1.jpg/49859691-0915-cfab-933c-2a3260f17599?t=1747946247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ykovocrb.ru/documents/271379/0/%D0%94%D0%B8%D1%81%D0%BF%D0%B0%D0%BD%D1%81%D0%B5%D1%80%D0%B8%D0%B7%D0%B0%D1%86%D0%B8%D1%8F+1.jpg/49859691-0915-cfab-933c-2a3260f17599?t=17479462474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754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EB" w:rsidRPr="00AE09EB" w:rsidRDefault="00AE09EB" w:rsidP="00C94D7E">
      <w:pPr>
        <w:shd w:val="clear" w:color="auto" w:fill="FFFFFF"/>
        <w:spacing w:after="240" w:line="600" w:lineRule="atLeast"/>
        <w:outlineLvl w:val="1"/>
        <w:rPr>
          <w:rFonts w:ascii="Arial" w:eastAsia="Times New Roman" w:hAnsi="Arial" w:cs="Arial"/>
          <w:b/>
          <w:bCs/>
          <w:color w:val="1C3467"/>
          <w:sz w:val="24"/>
          <w:szCs w:val="24"/>
          <w:lang w:eastAsia="ru-RU"/>
        </w:rPr>
      </w:pPr>
      <w:r w:rsidRPr="00AE09EB">
        <w:rPr>
          <w:rFonts w:ascii="PT Serif" w:eastAsia="Times New Roman" w:hAnsi="PT Serif" w:cs="Times New Roman"/>
          <w:b/>
          <w:bCs/>
          <w:color w:val="1C3467"/>
          <w:sz w:val="45"/>
          <w:szCs w:val="45"/>
          <w:lang w:eastAsia="ru-RU"/>
        </w:rPr>
        <w:lastRenderedPageBreak/>
        <w:t> </w:t>
      </w:r>
      <w:bookmarkStart w:id="0" w:name="_GoBack"/>
      <w:bookmarkEnd w:id="0"/>
    </w:p>
    <w:sectPr w:rsidR="00AE09EB" w:rsidRPr="00AE09EB" w:rsidSect="00C94D7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F24A9"/>
    <w:multiLevelType w:val="multilevel"/>
    <w:tmpl w:val="549E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D0"/>
    <w:rsid w:val="000E37D0"/>
    <w:rsid w:val="00AE09EB"/>
    <w:rsid w:val="00B313B1"/>
    <w:rsid w:val="00C9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2025-07-22T06:37:00Z</dcterms:created>
  <dcterms:modified xsi:type="dcterms:W3CDTF">2025-07-22T06:54:00Z</dcterms:modified>
</cp:coreProperties>
</file>